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146F6" w14:textId="4D04A7AB" w:rsidR="009C3B55" w:rsidRPr="00C6104B" w:rsidRDefault="009C3B55" w:rsidP="003B6143">
      <w:pPr>
        <w:jc w:val="center"/>
        <w:rPr>
          <w:rFonts w:cs="Times New Roman"/>
          <w:szCs w:val="24"/>
        </w:rPr>
      </w:pPr>
    </w:p>
    <w:p w14:paraId="46A13658" w14:textId="31AEA509" w:rsidR="003B6143" w:rsidRPr="00C6104B" w:rsidRDefault="003B6143" w:rsidP="003B6143">
      <w:pPr>
        <w:jc w:val="center"/>
        <w:rPr>
          <w:rFonts w:cs="Times New Roman"/>
          <w:szCs w:val="24"/>
        </w:rPr>
      </w:pPr>
    </w:p>
    <w:p w14:paraId="13FE26A9" w14:textId="181DD373" w:rsidR="003B6143" w:rsidRPr="00C6104B" w:rsidRDefault="003B6143" w:rsidP="003B6143">
      <w:pPr>
        <w:jc w:val="center"/>
        <w:rPr>
          <w:rFonts w:cs="Times New Roman"/>
          <w:szCs w:val="24"/>
        </w:rPr>
      </w:pPr>
    </w:p>
    <w:p w14:paraId="4B45A324" w14:textId="4853A542" w:rsidR="003B6143" w:rsidRPr="00C6104B" w:rsidRDefault="00AC6C5E" w:rsidP="003B6143">
      <w:pPr>
        <w:jc w:val="center"/>
        <w:rPr>
          <w:rFonts w:cs="Times New Roman"/>
          <w:b/>
          <w:bCs/>
          <w:szCs w:val="24"/>
        </w:rPr>
      </w:pPr>
      <w:r w:rsidRPr="00C6104B">
        <w:rPr>
          <w:rFonts w:cs="Times New Roman"/>
          <w:b/>
          <w:bCs/>
          <w:szCs w:val="24"/>
        </w:rPr>
        <w:t>The Impact Of COVID-19 On the African/Global Insurance Industry</w:t>
      </w:r>
    </w:p>
    <w:p w14:paraId="0848D43C" w14:textId="6D02BF16" w:rsidR="003B6143" w:rsidRPr="00C6104B" w:rsidRDefault="003B6143" w:rsidP="003B6143">
      <w:pPr>
        <w:jc w:val="center"/>
        <w:rPr>
          <w:rFonts w:cs="Times New Roman"/>
          <w:szCs w:val="24"/>
        </w:rPr>
      </w:pPr>
    </w:p>
    <w:p w14:paraId="1D699F2A" w14:textId="03C16E4D" w:rsidR="003B6143" w:rsidRPr="00C6104B" w:rsidRDefault="00AC6C5E" w:rsidP="003B6143">
      <w:pPr>
        <w:jc w:val="center"/>
        <w:rPr>
          <w:rFonts w:cs="Times New Roman"/>
          <w:szCs w:val="24"/>
        </w:rPr>
      </w:pPr>
      <w:r w:rsidRPr="00C6104B">
        <w:rPr>
          <w:rFonts w:cs="Times New Roman"/>
          <w:szCs w:val="24"/>
        </w:rPr>
        <w:t>Name</w:t>
      </w:r>
    </w:p>
    <w:p w14:paraId="19CBCFE0" w14:textId="759B3A90" w:rsidR="003B6143" w:rsidRPr="00C6104B" w:rsidRDefault="00AC6C5E" w:rsidP="003B6143">
      <w:pPr>
        <w:jc w:val="center"/>
        <w:rPr>
          <w:rFonts w:cs="Times New Roman"/>
          <w:szCs w:val="24"/>
        </w:rPr>
      </w:pPr>
      <w:r w:rsidRPr="00C6104B">
        <w:rPr>
          <w:rFonts w:cs="Times New Roman"/>
          <w:szCs w:val="24"/>
        </w:rPr>
        <w:t>Affiliation</w:t>
      </w:r>
    </w:p>
    <w:p w14:paraId="3280C2A3" w14:textId="17146E8F" w:rsidR="003B6143" w:rsidRPr="00C6104B" w:rsidRDefault="00AC6C5E" w:rsidP="003B6143">
      <w:pPr>
        <w:jc w:val="center"/>
        <w:rPr>
          <w:rFonts w:cs="Times New Roman"/>
          <w:szCs w:val="24"/>
        </w:rPr>
      </w:pPr>
      <w:r w:rsidRPr="00C6104B">
        <w:rPr>
          <w:rFonts w:cs="Times New Roman"/>
          <w:szCs w:val="24"/>
        </w:rPr>
        <w:t xml:space="preserve">Date </w:t>
      </w:r>
    </w:p>
    <w:p w14:paraId="05E21A6D" w14:textId="4E1C7D19" w:rsidR="003B6143" w:rsidRPr="00C6104B" w:rsidRDefault="003B6143" w:rsidP="003B6143">
      <w:pPr>
        <w:jc w:val="center"/>
        <w:rPr>
          <w:rFonts w:cs="Times New Roman"/>
          <w:szCs w:val="24"/>
        </w:rPr>
      </w:pPr>
    </w:p>
    <w:p w14:paraId="35F7F615" w14:textId="04A860D8" w:rsidR="003B6143" w:rsidRPr="00C6104B" w:rsidRDefault="003B6143" w:rsidP="003B6143">
      <w:pPr>
        <w:jc w:val="center"/>
        <w:rPr>
          <w:rFonts w:cs="Times New Roman"/>
          <w:szCs w:val="24"/>
        </w:rPr>
      </w:pPr>
    </w:p>
    <w:p w14:paraId="4A97F072" w14:textId="41F0252C" w:rsidR="003B6143" w:rsidRPr="00C6104B" w:rsidRDefault="003B6143" w:rsidP="003B6143">
      <w:pPr>
        <w:jc w:val="center"/>
        <w:rPr>
          <w:rFonts w:cs="Times New Roman"/>
          <w:szCs w:val="24"/>
        </w:rPr>
      </w:pPr>
    </w:p>
    <w:p w14:paraId="34CEE812" w14:textId="00A9C147" w:rsidR="003B6143" w:rsidRPr="00C6104B" w:rsidRDefault="003B6143" w:rsidP="003B6143">
      <w:pPr>
        <w:jc w:val="center"/>
        <w:rPr>
          <w:rFonts w:cs="Times New Roman"/>
          <w:szCs w:val="24"/>
        </w:rPr>
      </w:pPr>
    </w:p>
    <w:p w14:paraId="0B685FE4" w14:textId="3E336FEB" w:rsidR="003B6143" w:rsidRPr="00C6104B" w:rsidRDefault="003B6143" w:rsidP="003B6143">
      <w:pPr>
        <w:jc w:val="center"/>
        <w:rPr>
          <w:rFonts w:cs="Times New Roman"/>
          <w:szCs w:val="24"/>
        </w:rPr>
      </w:pPr>
    </w:p>
    <w:p w14:paraId="5659514A" w14:textId="3B906DFB" w:rsidR="003B6143" w:rsidRPr="00C6104B" w:rsidRDefault="003B6143" w:rsidP="003B6143">
      <w:pPr>
        <w:jc w:val="center"/>
        <w:rPr>
          <w:rFonts w:cs="Times New Roman"/>
          <w:szCs w:val="24"/>
        </w:rPr>
      </w:pPr>
    </w:p>
    <w:p w14:paraId="2ED817D1" w14:textId="33167A67" w:rsidR="003B6143" w:rsidRPr="00C6104B" w:rsidRDefault="003B6143" w:rsidP="003B6143">
      <w:pPr>
        <w:jc w:val="center"/>
        <w:rPr>
          <w:rFonts w:cs="Times New Roman"/>
          <w:szCs w:val="24"/>
        </w:rPr>
      </w:pPr>
    </w:p>
    <w:p w14:paraId="00629438" w14:textId="60DCD0CE" w:rsidR="003B6143" w:rsidRPr="00C6104B" w:rsidRDefault="003B6143" w:rsidP="003B6143">
      <w:pPr>
        <w:jc w:val="center"/>
        <w:rPr>
          <w:rFonts w:cs="Times New Roman"/>
          <w:szCs w:val="24"/>
        </w:rPr>
      </w:pPr>
    </w:p>
    <w:p w14:paraId="12434BFA" w14:textId="3AC66F37" w:rsidR="003B6143" w:rsidRPr="00C6104B" w:rsidRDefault="003B6143" w:rsidP="003B6143">
      <w:pPr>
        <w:jc w:val="center"/>
        <w:rPr>
          <w:rFonts w:cs="Times New Roman"/>
          <w:szCs w:val="24"/>
        </w:rPr>
      </w:pPr>
    </w:p>
    <w:p w14:paraId="69A57010" w14:textId="0AC902E9" w:rsidR="003B6143" w:rsidRPr="00C6104B" w:rsidRDefault="003B6143" w:rsidP="003B6143">
      <w:pPr>
        <w:jc w:val="center"/>
        <w:rPr>
          <w:rFonts w:cs="Times New Roman"/>
          <w:szCs w:val="24"/>
        </w:rPr>
      </w:pPr>
    </w:p>
    <w:p w14:paraId="5C816A1A" w14:textId="6BD04FE5" w:rsidR="003B6143" w:rsidRPr="00C6104B" w:rsidRDefault="003B6143" w:rsidP="003B6143">
      <w:pPr>
        <w:jc w:val="center"/>
        <w:rPr>
          <w:rFonts w:cs="Times New Roman"/>
          <w:szCs w:val="24"/>
        </w:rPr>
      </w:pPr>
    </w:p>
    <w:p w14:paraId="3195E5F9" w14:textId="5EA45CF1" w:rsidR="003B6143" w:rsidRPr="00C6104B" w:rsidRDefault="003B6143" w:rsidP="003B6143">
      <w:pPr>
        <w:jc w:val="center"/>
        <w:rPr>
          <w:rFonts w:cs="Times New Roman"/>
          <w:szCs w:val="24"/>
        </w:rPr>
      </w:pPr>
    </w:p>
    <w:p w14:paraId="628E816F" w14:textId="10087125" w:rsidR="003B6143" w:rsidRPr="00C6104B" w:rsidRDefault="003B6143" w:rsidP="003B6143">
      <w:pPr>
        <w:jc w:val="center"/>
        <w:rPr>
          <w:rFonts w:cs="Times New Roman"/>
          <w:szCs w:val="24"/>
        </w:rPr>
      </w:pPr>
    </w:p>
    <w:p w14:paraId="2EE9488C" w14:textId="4690EDDD" w:rsidR="003B6143" w:rsidRPr="00C6104B" w:rsidRDefault="003B6143" w:rsidP="003B6143">
      <w:pPr>
        <w:jc w:val="center"/>
        <w:rPr>
          <w:rFonts w:cs="Times New Roman"/>
          <w:szCs w:val="24"/>
        </w:rPr>
      </w:pPr>
    </w:p>
    <w:p w14:paraId="41020A4E" w14:textId="06523612" w:rsidR="003B6143" w:rsidRPr="00C6104B" w:rsidRDefault="003B6143" w:rsidP="003B6143">
      <w:pPr>
        <w:jc w:val="center"/>
        <w:rPr>
          <w:rFonts w:cs="Times New Roman"/>
          <w:szCs w:val="24"/>
        </w:rPr>
      </w:pPr>
    </w:p>
    <w:p w14:paraId="29D80EC6" w14:textId="77777777" w:rsidR="003B6143" w:rsidRPr="00C6104B" w:rsidRDefault="00AC6C5E" w:rsidP="003B6143">
      <w:pPr>
        <w:jc w:val="center"/>
        <w:rPr>
          <w:rFonts w:cs="Times New Roman"/>
          <w:b/>
          <w:bCs/>
          <w:szCs w:val="24"/>
        </w:rPr>
      </w:pPr>
      <w:r w:rsidRPr="00C6104B">
        <w:rPr>
          <w:rFonts w:cs="Times New Roman"/>
          <w:b/>
          <w:bCs/>
          <w:szCs w:val="24"/>
        </w:rPr>
        <w:t>The Impact Of COVID-19 On the African/Global Insurance Industry</w:t>
      </w:r>
    </w:p>
    <w:p w14:paraId="1AF0FAF3" w14:textId="5A46B48A" w:rsidR="003B6143" w:rsidRPr="00C6104B" w:rsidRDefault="00AC6C5E" w:rsidP="004A5A60">
      <w:pPr>
        <w:ind w:firstLine="720"/>
        <w:rPr>
          <w:rFonts w:cs="Times New Roman"/>
          <w:szCs w:val="24"/>
        </w:rPr>
      </w:pPr>
      <w:r w:rsidRPr="00C6104B">
        <w:rPr>
          <w:rFonts w:cs="Times New Roman"/>
          <w:szCs w:val="24"/>
        </w:rPr>
        <w:lastRenderedPageBreak/>
        <w:t xml:space="preserve">The covid-19 pandemic continues </w:t>
      </w:r>
      <w:r w:rsidR="004A5A60" w:rsidRPr="00C6104B">
        <w:rPr>
          <w:rFonts w:cs="Times New Roman"/>
          <w:szCs w:val="24"/>
        </w:rPr>
        <w:t>to have</w:t>
      </w:r>
      <w:r w:rsidRPr="00C6104B">
        <w:rPr>
          <w:rFonts w:cs="Times New Roman"/>
          <w:szCs w:val="24"/>
        </w:rPr>
        <w:t xml:space="preserve"> a massive impact on </w:t>
      </w:r>
      <w:r w:rsidR="004A5A60" w:rsidRPr="00C6104B">
        <w:rPr>
          <w:rFonts w:cs="Times New Roman"/>
          <w:szCs w:val="24"/>
        </w:rPr>
        <w:t>businesses, society</w:t>
      </w:r>
      <w:r w:rsidRPr="00C6104B">
        <w:rPr>
          <w:rFonts w:cs="Times New Roman"/>
          <w:szCs w:val="24"/>
        </w:rPr>
        <w:t xml:space="preserve">, and </w:t>
      </w:r>
      <w:r w:rsidR="004A5A60" w:rsidRPr="00C6104B">
        <w:rPr>
          <w:rFonts w:cs="Times New Roman"/>
          <w:szCs w:val="24"/>
        </w:rPr>
        <w:t>individuals worldwide. The</w:t>
      </w:r>
      <w:r w:rsidRPr="00C6104B">
        <w:rPr>
          <w:rFonts w:cs="Times New Roman"/>
          <w:szCs w:val="24"/>
        </w:rPr>
        <w:t xml:space="preserve"> effect of the pandemic on the global insurance market has primarily affected premium growth </w:t>
      </w:r>
      <w:r w:rsidR="004A5A60" w:rsidRPr="00C6104B">
        <w:rPr>
          <w:rFonts w:cs="Times New Roman"/>
          <w:szCs w:val="24"/>
        </w:rPr>
        <w:t>prospects, capital</w:t>
      </w:r>
      <w:r w:rsidRPr="00C6104B">
        <w:rPr>
          <w:rFonts w:cs="Times New Roman"/>
          <w:szCs w:val="24"/>
        </w:rPr>
        <w:t xml:space="preserve"> markets volatility, and asset </w:t>
      </w:r>
      <w:r w:rsidR="004A5A60" w:rsidRPr="00C6104B">
        <w:rPr>
          <w:rFonts w:cs="Times New Roman"/>
          <w:szCs w:val="24"/>
        </w:rPr>
        <w:t>risks. The</w:t>
      </w:r>
      <w:r w:rsidRPr="00C6104B">
        <w:rPr>
          <w:rFonts w:cs="Times New Roman"/>
          <w:szCs w:val="24"/>
        </w:rPr>
        <w:t xml:space="preserve"> other significant impacts to the insurance industry are profitability and </w:t>
      </w:r>
      <w:r w:rsidR="004A5A60" w:rsidRPr="00C6104B">
        <w:rPr>
          <w:rFonts w:cs="Times New Roman"/>
          <w:szCs w:val="24"/>
        </w:rPr>
        <w:t>solvency. The</w:t>
      </w:r>
      <w:r w:rsidR="00C91DE3" w:rsidRPr="00C6104B">
        <w:rPr>
          <w:rFonts w:cs="Times New Roman"/>
          <w:szCs w:val="24"/>
        </w:rPr>
        <w:t xml:space="preserve"> pandemic has increased the pressure on profitability, specifically on composite and life insurers</w:t>
      </w:r>
      <w:r w:rsidR="000E6A4A" w:rsidRPr="00C6104B">
        <w:rPr>
          <w:rFonts w:cs="Times New Roman"/>
          <w:szCs w:val="24"/>
        </w:rPr>
        <w:t xml:space="preserve">. The first six months of the 2020 covid-19 crisis impacted the investment </w:t>
      </w:r>
      <w:r w:rsidR="004A5A60" w:rsidRPr="00C6104B">
        <w:rPr>
          <w:rFonts w:cs="Times New Roman"/>
          <w:szCs w:val="24"/>
        </w:rPr>
        <w:t>revenues</w:t>
      </w:r>
      <w:r w:rsidR="008E4EA9" w:rsidRPr="00C6104B">
        <w:rPr>
          <w:rFonts w:cs="Times New Roman"/>
          <w:szCs w:val="24"/>
        </w:rPr>
        <w:t xml:space="preserve"> (Haq, 2020)</w:t>
      </w:r>
      <w:r w:rsidR="004A5A60" w:rsidRPr="00C6104B">
        <w:rPr>
          <w:rFonts w:cs="Times New Roman"/>
          <w:szCs w:val="24"/>
        </w:rPr>
        <w:t>. The</w:t>
      </w:r>
      <w:r w:rsidR="000E6A4A" w:rsidRPr="00C6104B">
        <w:rPr>
          <w:rFonts w:cs="Times New Roman"/>
          <w:szCs w:val="24"/>
        </w:rPr>
        <w:t xml:space="preserve"> gains were affected by investment and impairment losses from financial market </w:t>
      </w:r>
      <w:r w:rsidR="004A5A60" w:rsidRPr="00C6104B">
        <w:rPr>
          <w:rFonts w:cs="Times New Roman"/>
          <w:szCs w:val="24"/>
        </w:rPr>
        <w:t>recessions, besides</w:t>
      </w:r>
      <w:r w:rsidR="000E6A4A" w:rsidRPr="00C6104B">
        <w:rPr>
          <w:rFonts w:cs="Times New Roman"/>
          <w:szCs w:val="24"/>
        </w:rPr>
        <w:t xml:space="preserve"> the increased expenses</w:t>
      </w:r>
      <w:r w:rsidR="00731A0D" w:rsidRPr="00C6104B">
        <w:rPr>
          <w:rFonts w:cs="Times New Roman"/>
          <w:szCs w:val="24"/>
        </w:rPr>
        <w:t>.</w:t>
      </w:r>
    </w:p>
    <w:p w14:paraId="7A2C3A15" w14:textId="65195D42" w:rsidR="001F558B" w:rsidRPr="00C6104B" w:rsidRDefault="00AC6C5E" w:rsidP="003B6143">
      <w:pPr>
        <w:rPr>
          <w:rFonts w:cs="Times New Roman"/>
          <w:szCs w:val="24"/>
        </w:rPr>
      </w:pPr>
      <w:r w:rsidRPr="00C6104B">
        <w:rPr>
          <w:rFonts w:cs="Times New Roman"/>
          <w:szCs w:val="24"/>
        </w:rPr>
        <w:tab/>
        <w:t xml:space="preserve">The penetration rate of life and health </w:t>
      </w:r>
      <w:r w:rsidR="00960321" w:rsidRPr="00C6104B">
        <w:rPr>
          <w:rFonts w:cs="Times New Roman"/>
          <w:szCs w:val="24"/>
        </w:rPr>
        <w:t xml:space="preserve">insurance for the past several years has reduced significantly in </w:t>
      </w:r>
      <w:r w:rsidR="004A5A60" w:rsidRPr="00C6104B">
        <w:rPr>
          <w:rFonts w:cs="Times New Roman"/>
          <w:szCs w:val="24"/>
        </w:rPr>
        <w:t>America. The</w:t>
      </w:r>
      <w:r w:rsidR="00960321" w:rsidRPr="00C6104B">
        <w:rPr>
          <w:rFonts w:cs="Times New Roman"/>
          <w:szCs w:val="24"/>
        </w:rPr>
        <w:t xml:space="preserve"> penetration rate in 2008 was </w:t>
      </w:r>
      <w:r w:rsidR="00A40EC6" w:rsidRPr="00C6104B">
        <w:rPr>
          <w:rFonts w:cs="Times New Roman"/>
          <w:szCs w:val="24"/>
        </w:rPr>
        <w:t xml:space="preserve">at 3.9 percent, but it decreased to 2.9 percent in 2019. The low interest rates have affected the life insurance industry, which has prevailed since the massive recession. In 2020, life and health insurance witnessed a meaningful decline in its services due to the covid-19 </w:t>
      </w:r>
      <w:r w:rsidR="004A5A60" w:rsidRPr="00C6104B">
        <w:rPr>
          <w:rFonts w:cs="Times New Roman"/>
          <w:szCs w:val="24"/>
        </w:rPr>
        <w:t>crisis. The</w:t>
      </w:r>
      <w:r w:rsidR="00A40EC6" w:rsidRPr="00C6104B">
        <w:rPr>
          <w:rFonts w:cs="Times New Roman"/>
          <w:szCs w:val="24"/>
        </w:rPr>
        <w:t xml:space="preserve"> pandemic has increased </w:t>
      </w:r>
      <w:r w:rsidR="004A5A60" w:rsidRPr="00C6104B">
        <w:rPr>
          <w:rFonts w:cs="Times New Roman"/>
          <w:szCs w:val="24"/>
        </w:rPr>
        <w:t>uncertainty</w:t>
      </w:r>
      <w:r w:rsidR="00A40EC6" w:rsidRPr="00C6104B">
        <w:rPr>
          <w:rFonts w:cs="Times New Roman"/>
          <w:szCs w:val="24"/>
        </w:rPr>
        <w:t xml:space="preserve"> in people's financial stability</w:t>
      </w:r>
      <w:r w:rsidR="004A5A60" w:rsidRPr="00C6104B">
        <w:rPr>
          <w:rFonts w:cs="Times New Roman"/>
          <w:szCs w:val="24"/>
        </w:rPr>
        <w:t>, lower</w:t>
      </w:r>
      <w:r w:rsidR="00A40EC6" w:rsidRPr="00C6104B">
        <w:rPr>
          <w:rFonts w:cs="Times New Roman"/>
          <w:szCs w:val="24"/>
        </w:rPr>
        <w:t xml:space="preserve"> investment income, and rising unemployment. As per the average market capitalization of public traded life and health insurance companies in </w:t>
      </w:r>
      <w:r w:rsidR="004A5A60" w:rsidRPr="00C6104B">
        <w:rPr>
          <w:rFonts w:cs="Times New Roman"/>
          <w:szCs w:val="24"/>
        </w:rPr>
        <w:t>America, life</w:t>
      </w:r>
      <w:r w:rsidR="00EA4E60" w:rsidRPr="00C6104B">
        <w:rPr>
          <w:rFonts w:cs="Times New Roman"/>
          <w:szCs w:val="24"/>
        </w:rPr>
        <w:t xml:space="preserve"> insurance firms reduced by 13.4 </w:t>
      </w:r>
      <w:r w:rsidR="004A5A60" w:rsidRPr="00C6104B">
        <w:rPr>
          <w:rFonts w:cs="Times New Roman"/>
          <w:szCs w:val="24"/>
        </w:rPr>
        <w:t>percent. EBITDA</w:t>
      </w:r>
      <w:r w:rsidR="00EA4E60" w:rsidRPr="00C6104B">
        <w:rPr>
          <w:rFonts w:cs="Times New Roman"/>
          <w:szCs w:val="24"/>
        </w:rPr>
        <w:t xml:space="preserve"> also declined in the </w:t>
      </w:r>
      <w:r w:rsidR="004A5A60" w:rsidRPr="00C6104B">
        <w:rPr>
          <w:rFonts w:cs="Times New Roman"/>
          <w:szCs w:val="24"/>
        </w:rPr>
        <w:t>first</w:t>
      </w:r>
      <w:r w:rsidR="00EA4E60" w:rsidRPr="00C6104B">
        <w:rPr>
          <w:rFonts w:cs="Times New Roman"/>
          <w:szCs w:val="24"/>
        </w:rPr>
        <w:t xml:space="preserve"> three months of 2020 as the market negatively reacted to the economic fallout of the pandemic</w:t>
      </w:r>
      <w:r w:rsidR="00C764E9" w:rsidRPr="00C6104B">
        <w:rPr>
          <w:rFonts w:cs="Times New Roman"/>
          <w:szCs w:val="24"/>
        </w:rPr>
        <w:t xml:space="preserve"> ("2020 insurance year in review and the impact of COVID-19 | Expert commentary | IRMI.com,")</w:t>
      </w:r>
      <w:r w:rsidR="00EA4E60" w:rsidRPr="00C6104B">
        <w:rPr>
          <w:rFonts w:cs="Times New Roman"/>
          <w:szCs w:val="24"/>
        </w:rPr>
        <w:t>.</w:t>
      </w:r>
    </w:p>
    <w:p w14:paraId="09E85BAF" w14:textId="2DBA6F1D" w:rsidR="00EA4E60" w:rsidRPr="00C6104B" w:rsidRDefault="00AC6C5E" w:rsidP="003B6143">
      <w:pPr>
        <w:rPr>
          <w:rFonts w:cs="Times New Roman"/>
          <w:szCs w:val="24"/>
        </w:rPr>
      </w:pPr>
      <w:r w:rsidRPr="00C6104B">
        <w:rPr>
          <w:rFonts w:cs="Times New Roman"/>
          <w:szCs w:val="24"/>
        </w:rPr>
        <w:tab/>
        <w:t xml:space="preserve">The northern part of America comprises almost 40.0 percent </w:t>
      </w:r>
      <w:r w:rsidR="004A5A60" w:rsidRPr="00C6104B">
        <w:rPr>
          <w:rFonts w:cs="Times New Roman"/>
          <w:szCs w:val="24"/>
        </w:rPr>
        <w:t>of the property</w:t>
      </w:r>
      <w:r w:rsidRPr="00C6104B">
        <w:rPr>
          <w:rFonts w:cs="Times New Roman"/>
          <w:szCs w:val="24"/>
        </w:rPr>
        <w:t xml:space="preserve"> and </w:t>
      </w:r>
      <w:r w:rsidR="004A5A60" w:rsidRPr="00C6104B">
        <w:rPr>
          <w:rFonts w:cs="Times New Roman"/>
          <w:szCs w:val="24"/>
        </w:rPr>
        <w:t>casualty</w:t>
      </w:r>
      <w:r w:rsidRPr="00C6104B">
        <w:rPr>
          <w:rFonts w:cs="Times New Roman"/>
          <w:szCs w:val="24"/>
        </w:rPr>
        <w:t xml:space="preserve"> </w:t>
      </w:r>
      <w:r w:rsidR="004A5A60" w:rsidRPr="00C6104B">
        <w:rPr>
          <w:rFonts w:cs="Times New Roman"/>
          <w:szCs w:val="24"/>
        </w:rPr>
        <w:t xml:space="preserve">market. </w:t>
      </w:r>
      <w:r w:rsidRPr="00C6104B">
        <w:rPr>
          <w:rFonts w:cs="Times New Roman"/>
          <w:szCs w:val="24"/>
        </w:rPr>
        <w:t xml:space="preserve">Global property and </w:t>
      </w:r>
      <w:r w:rsidR="004A5A60" w:rsidRPr="00C6104B">
        <w:rPr>
          <w:rFonts w:cs="Times New Roman"/>
          <w:szCs w:val="24"/>
        </w:rPr>
        <w:t>casualty</w:t>
      </w:r>
      <w:r w:rsidRPr="00C6104B">
        <w:rPr>
          <w:rFonts w:cs="Times New Roman"/>
          <w:szCs w:val="24"/>
        </w:rPr>
        <w:t xml:space="preserve"> insurance suffered massively due to the pandemic. In the first six months of 2020, the P&amp;C companies recorded a yearly operating return on equity from 8.3% to 2.8%. The massive loss is linked to the $6.8billion loss incurred during the pandemic </w:t>
      </w:r>
      <w:r w:rsidR="004A5A60" w:rsidRPr="00C6104B">
        <w:rPr>
          <w:rFonts w:cs="Times New Roman"/>
          <w:szCs w:val="24"/>
        </w:rPr>
        <w:t>period. Such</w:t>
      </w:r>
      <w:r w:rsidRPr="00C6104B">
        <w:rPr>
          <w:rFonts w:cs="Times New Roman"/>
          <w:szCs w:val="24"/>
        </w:rPr>
        <w:t xml:space="preserve"> companies also witnessed a workforce reduction, leading to</w:t>
      </w:r>
      <w:r w:rsidR="00EF159A" w:rsidRPr="00C6104B">
        <w:rPr>
          <w:rFonts w:cs="Times New Roman"/>
          <w:szCs w:val="24"/>
        </w:rPr>
        <w:t xml:space="preserve"> a decrease in insurance sales. As a precautionary measure, most small firms closed in 2020 because of the </w:t>
      </w:r>
      <w:r w:rsidR="004A5A60" w:rsidRPr="00C6104B">
        <w:rPr>
          <w:rFonts w:cs="Times New Roman"/>
          <w:szCs w:val="24"/>
        </w:rPr>
        <w:t xml:space="preserve">pandemic, </w:t>
      </w:r>
      <w:r w:rsidR="004A5A60" w:rsidRPr="00C6104B">
        <w:rPr>
          <w:rFonts w:cs="Times New Roman"/>
          <w:szCs w:val="24"/>
        </w:rPr>
        <w:lastRenderedPageBreak/>
        <w:t>reducing</w:t>
      </w:r>
      <w:r w:rsidR="00EF159A" w:rsidRPr="00C6104B">
        <w:rPr>
          <w:rFonts w:cs="Times New Roman"/>
          <w:szCs w:val="24"/>
        </w:rPr>
        <w:t xml:space="preserve"> the number of premiums sold to such </w:t>
      </w:r>
      <w:r w:rsidR="004A5A60" w:rsidRPr="00C6104B">
        <w:rPr>
          <w:rFonts w:cs="Times New Roman"/>
          <w:szCs w:val="24"/>
        </w:rPr>
        <w:t>firms. The</w:t>
      </w:r>
      <w:r w:rsidR="00EF159A" w:rsidRPr="00C6104B">
        <w:rPr>
          <w:rFonts w:cs="Times New Roman"/>
          <w:szCs w:val="24"/>
        </w:rPr>
        <w:t xml:space="preserve"> multiline insurance companies were also faced with critical challenges due to the pandemic and their exposure to </w:t>
      </w:r>
      <w:r w:rsidR="004A5A60" w:rsidRPr="00C6104B">
        <w:rPr>
          <w:rFonts w:cs="Times New Roman"/>
          <w:szCs w:val="24"/>
        </w:rPr>
        <w:t>risks. The majority</w:t>
      </w:r>
      <w:r w:rsidR="00EF159A" w:rsidRPr="00C6104B">
        <w:rPr>
          <w:rFonts w:cs="Times New Roman"/>
          <w:szCs w:val="24"/>
        </w:rPr>
        <w:t xml:space="preserve"> of global multiline insurance companies noted a profit and revenue decline as compared to 2018. for instance, American-based </w:t>
      </w:r>
      <w:r w:rsidR="004A5A60" w:rsidRPr="00C6104B">
        <w:rPr>
          <w:rFonts w:cs="Times New Roman"/>
          <w:szCs w:val="24"/>
        </w:rPr>
        <w:t>multiline</w:t>
      </w:r>
      <w:r w:rsidR="00EF159A" w:rsidRPr="00C6104B">
        <w:rPr>
          <w:rFonts w:cs="Times New Roman"/>
          <w:szCs w:val="24"/>
        </w:rPr>
        <w:t xml:space="preserve"> insurers stated the most significant </w:t>
      </w:r>
      <w:r w:rsidR="004A5A60" w:rsidRPr="00C6104B">
        <w:rPr>
          <w:rFonts w:cs="Times New Roman"/>
          <w:szCs w:val="24"/>
        </w:rPr>
        <w:t>decreases. First</w:t>
      </w:r>
      <w:r w:rsidR="00EF159A" w:rsidRPr="00C6104B">
        <w:rPr>
          <w:rFonts w:cs="Times New Roman"/>
          <w:szCs w:val="24"/>
        </w:rPr>
        <w:t>, it witnessed a sharp reduction in earning; the companies also reduced by 22.1 percent in 2019</w:t>
      </w:r>
      <w:r w:rsidR="00C764E9" w:rsidRPr="00C6104B">
        <w:rPr>
          <w:rFonts w:cs="Times New Roman"/>
          <w:szCs w:val="24"/>
        </w:rPr>
        <w:t xml:space="preserve"> </w:t>
      </w:r>
      <w:r w:rsidR="00C764E9" w:rsidRPr="00C6104B">
        <w:rPr>
          <w:rFonts w:cs="Times New Roman"/>
          <w:szCs w:val="24"/>
          <w:shd w:val="clear" w:color="auto" w:fill="FFFFFF"/>
        </w:rPr>
        <w:t>(M, 2020)</w:t>
      </w:r>
      <w:r w:rsidR="00EF159A" w:rsidRPr="00C6104B">
        <w:rPr>
          <w:rFonts w:cs="Times New Roman"/>
          <w:szCs w:val="24"/>
        </w:rPr>
        <w:t>.</w:t>
      </w:r>
    </w:p>
    <w:p w14:paraId="30D3BE68" w14:textId="418C18DA" w:rsidR="00403EE1" w:rsidRPr="00C6104B" w:rsidRDefault="00AC6C5E" w:rsidP="003B6143">
      <w:pPr>
        <w:rPr>
          <w:rFonts w:cs="Times New Roman"/>
          <w:szCs w:val="24"/>
        </w:rPr>
      </w:pPr>
      <w:r w:rsidRPr="00C6104B">
        <w:rPr>
          <w:rFonts w:cs="Times New Roman"/>
          <w:szCs w:val="24"/>
        </w:rPr>
        <w:tab/>
        <w:t xml:space="preserve">Insurance broker firms managed to survive the pandemic and benefited from a lack of risks and </w:t>
      </w:r>
      <w:r w:rsidR="004A5A60" w:rsidRPr="00C6104B">
        <w:rPr>
          <w:rFonts w:cs="Times New Roman"/>
          <w:szCs w:val="24"/>
        </w:rPr>
        <w:t>exposure. For</w:t>
      </w:r>
      <w:r w:rsidRPr="00C6104B">
        <w:rPr>
          <w:rFonts w:cs="Times New Roman"/>
          <w:szCs w:val="24"/>
        </w:rPr>
        <w:t xml:space="preserve"> </w:t>
      </w:r>
      <w:r w:rsidR="004A5A60" w:rsidRPr="00C6104B">
        <w:rPr>
          <w:rFonts w:cs="Times New Roman"/>
          <w:szCs w:val="24"/>
        </w:rPr>
        <w:t>example,</w:t>
      </w:r>
      <w:r w:rsidRPr="00C6104B">
        <w:rPr>
          <w:rFonts w:cs="Times New Roman"/>
          <w:szCs w:val="24"/>
        </w:rPr>
        <w:t xml:space="preserve"> Marsh and McLennan reported a growth of 9% on its operating </w:t>
      </w:r>
      <w:r w:rsidR="004A5A60" w:rsidRPr="00C6104B">
        <w:rPr>
          <w:rFonts w:cs="Times New Roman"/>
          <w:szCs w:val="24"/>
        </w:rPr>
        <w:t>income. AON</w:t>
      </w:r>
      <w:r w:rsidRPr="00C6104B">
        <w:rPr>
          <w:rFonts w:cs="Times New Roman"/>
          <w:szCs w:val="24"/>
        </w:rPr>
        <w:t xml:space="preserve"> insurance brokers also reported an income growth of 4.0</w:t>
      </w:r>
      <w:r w:rsidR="004A5A60" w:rsidRPr="00C6104B">
        <w:rPr>
          <w:rFonts w:cs="Times New Roman"/>
          <w:szCs w:val="24"/>
        </w:rPr>
        <w:t>%. Insurance</w:t>
      </w:r>
      <w:r w:rsidRPr="00C6104B">
        <w:rPr>
          <w:rFonts w:cs="Times New Roman"/>
          <w:szCs w:val="24"/>
        </w:rPr>
        <w:t xml:space="preserve"> brokers also reported an increase in the homeownership rate, peaking at 67.9</w:t>
      </w:r>
      <w:r w:rsidR="004A5A60" w:rsidRPr="00C6104B">
        <w:rPr>
          <w:rFonts w:cs="Times New Roman"/>
          <w:szCs w:val="24"/>
        </w:rPr>
        <w:t>%. The majority</w:t>
      </w:r>
      <w:r w:rsidRPr="00C6104B">
        <w:rPr>
          <w:rFonts w:cs="Times New Roman"/>
          <w:szCs w:val="24"/>
        </w:rPr>
        <w:t xml:space="preserve"> of the brokerage firms managed to increase their average equity market capitalization by 10.1</w:t>
      </w:r>
      <w:r w:rsidR="004A5A60" w:rsidRPr="00C6104B">
        <w:rPr>
          <w:rFonts w:cs="Times New Roman"/>
          <w:szCs w:val="24"/>
        </w:rPr>
        <w:t>%. However,</w:t>
      </w:r>
      <w:r w:rsidRPr="00C6104B">
        <w:rPr>
          <w:rFonts w:cs="Times New Roman"/>
          <w:szCs w:val="24"/>
        </w:rPr>
        <w:t xml:space="preserve"> there was an </w:t>
      </w:r>
      <w:r w:rsidR="004A5A60" w:rsidRPr="00C6104B">
        <w:rPr>
          <w:rFonts w:cs="Times New Roman"/>
          <w:szCs w:val="24"/>
        </w:rPr>
        <w:t>aggregate</w:t>
      </w:r>
      <w:r w:rsidRPr="00C6104B">
        <w:rPr>
          <w:rFonts w:cs="Times New Roman"/>
          <w:szCs w:val="24"/>
        </w:rPr>
        <w:t xml:space="preserve"> decrease in average capitalization of 7.2 percent across the whole insurance </w:t>
      </w:r>
      <w:r w:rsidR="004A5A60" w:rsidRPr="00C6104B">
        <w:rPr>
          <w:rFonts w:cs="Times New Roman"/>
          <w:szCs w:val="24"/>
        </w:rPr>
        <w:t>industry. The</w:t>
      </w:r>
      <w:r w:rsidRPr="00C6104B">
        <w:rPr>
          <w:rFonts w:cs="Times New Roman"/>
          <w:szCs w:val="24"/>
        </w:rPr>
        <w:t xml:space="preserve"> brokerage firms also reported an increase in average EBITDA over the past </w:t>
      </w:r>
      <w:r w:rsidR="004A5A60" w:rsidRPr="00C6104B">
        <w:rPr>
          <w:rFonts w:cs="Times New Roman"/>
          <w:szCs w:val="24"/>
        </w:rPr>
        <w:t>year. Such</w:t>
      </w:r>
      <w:r w:rsidR="00537BDA" w:rsidRPr="00C6104B">
        <w:rPr>
          <w:rFonts w:cs="Times New Roman"/>
          <w:szCs w:val="24"/>
        </w:rPr>
        <w:t xml:space="preserve"> firms were able to note the increment as a result of an appreciation of market capitalization.</w:t>
      </w:r>
    </w:p>
    <w:p w14:paraId="619A92B0" w14:textId="33F28AA0" w:rsidR="00537BDA" w:rsidRPr="00C6104B" w:rsidRDefault="00AC6C5E" w:rsidP="003B6143">
      <w:pPr>
        <w:rPr>
          <w:rFonts w:cs="Times New Roman"/>
          <w:szCs w:val="24"/>
        </w:rPr>
      </w:pPr>
      <w:r w:rsidRPr="00C6104B">
        <w:rPr>
          <w:rFonts w:cs="Times New Roman"/>
          <w:szCs w:val="24"/>
        </w:rPr>
        <w:tab/>
        <w:t>Reinsurer firms introduced strict transaction measures to improve their decision</w:t>
      </w:r>
      <w:r w:rsidR="004A5A60" w:rsidRPr="00C6104B">
        <w:rPr>
          <w:rFonts w:cs="Times New Roman"/>
          <w:szCs w:val="24"/>
        </w:rPr>
        <w:t>-making. The</w:t>
      </w:r>
      <w:r w:rsidRPr="00C6104B">
        <w:rPr>
          <w:rFonts w:cs="Times New Roman"/>
          <w:szCs w:val="24"/>
        </w:rPr>
        <w:t xml:space="preserve"> deployment of such measures helped this sector as it recorded the lowest percentage of excess provision approvals for disaster </w:t>
      </w:r>
      <w:r w:rsidR="004A5A60" w:rsidRPr="00C6104B">
        <w:rPr>
          <w:rFonts w:cs="Times New Roman"/>
          <w:szCs w:val="24"/>
        </w:rPr>
        <w:t>insurance. However,</w:t>
      </w:r>
      <w:r w:rsidRPr="00C6104B">
        <w:rPr>
          <w:rFonts w:cs="Times New Roman"/>
          <w:szCs w:val="24"/>
        </w:rPr>
        <w:t xml:space="preserve"> the valuations of global reinsurers suffered the most of all the international insurance industry as its market capitalization decreased by 21.3 percent in 2020. international reinsurers also </w:t>
      </w:r>
      <w:r w:rsidR="0001098A" w:rsidRPr="00C6104B">
        <w:rPr>
          <w:rFonts w:cs="Times New Roman"/>
          <w:szCs w:val="24"/>
        </w:rPr>
        <w:t xml:space="preserve">noted a decline in average </w:t>
      </w:r>
      <w:r w:rsidR="004A5A60" w:rsidRPr="00C6104B">
        <w:rPr>
          <w:rFonts w:cs="Times New Roman"/>
          <w:szCs w:val="24"/>
        </w:rPr>
        <w:t>earnings. However,</w:t>
      </w:r>
      <w:r w:rsidR="0001098A" w:rsidRPr="00C6104B">
        <w:rPr>
          <w:rFonts w:cs="Times New Roman"/>
          <w:szCs w:val="24"/>
        </w:rPr>
        <w:t xml:space="preserve"> despite its massive decline in market </w:t>
      </w:r>
      <w:r w:rsidR="004A5A60" w:rsidRPr="00C6104B">
        <w:rPr>
          <w:rFonts w:cs="Times New Roman"/>
          <w:szCs w:val="24"/>
        </w:rPr>
        <w:t>capitalization, its</w:t>
      </w:r>
      <w:r w:rsidR="0001098A" w:rsidRPr="00C6104B">
        <w:rPr>
          <w:rFonts w:cs="Times New Roman"/>
          <w:szCs w:val="24"/>
        </w:rPr>
        <w:t xml:space="preserve"> average enterprise value to EBITDA multiple increased to 17.4× in December 2020</w:t>
      </w:r>
      <w:r w:rsidR="008E4EA9" w:rsidRPr="00C6104B">
        <w:rPr>
          <w:rFonts w:cs="Times New Roman"/>
          <w:szCs w:val="24"/>
        </w:rPr>
        <w:t xml:space="preserve"> ("2020 insurance year in review and the impact of COVID-19 | Expert commentary | IRMI.com,")</w:t>
      </w:r>
      <w:r w:rsidR="0001098A" w:rsidRPr="00C6104B">
        <w:rPr>
          <w:rFonts w:cs="Times New Roman"/>
          <w:szCs w:val="24"/>
        </w:rPr>
        <w:t>.</w:t>
      </w:r>
    </w:p>
    <w:p w14:paraId="7ABCF37D" w14:textId="3CAC1776" w:rsidR="00E72E7F" w:rsidRPr="00C6104B" w:rsidRDefault="00AC6C5E" w:rsidP="003B6143">
      <w:pPr>
        <w:rPr>
          <w:rFonts w:cs="Times New Roman"/>
          <w:szCs w:val="24"/>
        </w:rPr>
      </w:pPr>
      <w:r w:rsidRPr="00C6104B">
        <w:rPr>
          <w:rFonts w:cs="Times New Roman"/>
          <w:szCs w:val="24"/>
        </w:rPr>
        <w:tab/>
        <w:t xml:space="preserve">The covid-19 pandemic </w:t>
      </w:r>
      <w:r w:rsidR="00025C00" w:rsidRPr="00C6104B">
        <w:rPr>
          <w:rFonts w:cs="Times New Roman"/>
          <w:szCs w:val="24"/>
        </w:rPr>
        <w:t xml:space="preserve">has a considerable impact worldwide on </w:t>
      </w:r>
      <w:r w:rsidR="00BA51A9" w:rsidRPr="00C6104B">
        <w:rPr>
          <w:rFonts w:cs="Times New Roman"/>
          <w:szCs w:val="24"/>
        </w:rPr>
        <w:t>communities, families</w:t>
      </w:r>
      <w:r w:rsidR="00025C00" w:rsidRPr="00C6104B">
        <w:rPr>
          <w:rFonts w:cs="Times New Roman"/>
          <w:szCs w:val="24"/>
        </w:rPr>
        <w:t xml:space="preserve">, and individuals' </w:t>
      </w:r>
      <w:r w:rsidR="00BA51A9" w:rsidRPr="00C6104B">
        <w:rPr>
          <w:rFonts w:cs="Times New Roman"/>
          <w:szCs w:val="24"/>
        </w:rPr>
        <w:t>lives. For</w:t>
      </w:r>
      <w:r w:rsidR="00025C00" w:rsidRPr="00C6104B">
        <w:rPr>
          <w:rFonts w:cs="Times New Roman"/>
          <w:szCs w:val="24"/>
        </w:rPr>
        <w:t xml:space="preserve"> most of Africa, the insurance company has been affected by the </w:t>
      </w:r>
      <w:r w:rsidR="00025C00" w:rsidRPr="00C6104B">
        <w:rPr>
          <w:rFonts w:cs="Times New Roman"/>
          <w:szCs w:val="24"/>
        </w:rPr>
        <w:lastRenderedPageBreak/>
        <w:t xml:space="preserve">increased number of business interactions and reduced </w:t>
      </w:r>
      <w:r w:rsidR="00BA51A9" w:rsidRPr="00C6104B">
        <w:rPr>
          <w:rFonts w:cs="Times New Roman"/>
          <w:szCs w:val="24"/>
        </w:rPr>
        <w:t>sales</w:t>
      </w:r>
      <w:r w:rsidR="00025C00" w:rsidRPr="00C6104B">
        <w:rPr>
          <w:rFonts w:cs="Times New Roman"/>
          <w:szCs w:val="24"/>
        </w:rPr>
        <w:t xml:space="preserve"> volumes and physical interactions with </w:t>
      </w:r>
      <w:r w:rsidR="00BA51A9" w:rsidRPr="00C6104B">
        <w:rPr>
          <w:rFonts w:cs="Times New Roman"/>
          <w:szCs w:val="24"/>
        </w:rPr>
        <w:t>clients. The Nigerian</w:t>
      </w:r>
      <w:r w:rsidR="003862E5" w:rsidRPr="00C6104B">
        <w:rPr>
          <w:rFonts w:cs="Times New Roman"/>
          <w:szCs w:val="24"/>
        </w:rPr>
        <w:t xml:space="preserve"> insurance industry, for example, reports an economic slowdown resulting from the </w:t>
      </w:r>
      <w:r w:rsidR="00BA51A9" w:rsidRPr="00C6104B">
        <w:rPr>
          <w:rFonts w:cs="Times New Roman"/>
          <w:szCs w:val="24"/>
        </w:rPr>
        <w:t>crisis. There</w:t>
      </w:r>
      <w:r w:rsidR="003862E5" w:rsidRPr="00C6104B">
        <w:rPr>
          <w:rFonts w:cs="Times New Roman"/>
          <w:szCs w:val="24"/>
        </w:rPr>
        <w:t xml:space="preserve"> is also a decline in interest rates and massive credit risk exposures from firms facing reasonable </w:t>
      </w:r>
      <w:r w:rsidR="00BA51A9" w:rsidRPr="00C6104B">
        <w:rPr>
          <w:rFonts w:cs="Times New Roman"/>
          <w:szCs w:val="24"/>
        </w:rPr>
        <w:t>defaults. In</w:t>
      </w:r>
      <w:r w:rsidR="00706F44" w:rsidRPr="00C6104B">
        <w:rPr>
          <w:rFonts w:cs="Times New Roman"/>
          <w:szCs w:val="24"/>
        </w:rPr>
        <w:t xml:space="preserve"> the </w:t>
      </w:r>
      <w:r w:rsidR="00BA51A9" w:rsidRPr="00C6104B">
        <w:rPr>
          <w:rFonts w:cs="Times New Roman"/>
          <w:szCs w:val="24"/>
        </w:rPr>
        <w:t>sub-Saharan</w:t>
      </w:r>
      <w:r w:rsidR="00706F44" w:rsidRPr="00C6104B">
        <w:rPr>
          <w:rFonts w:cs="Times New Roman"/>
          <w:szCs w:val="24"/>
        </w:rPr>
        <w:t xml:space="preserve"> parts of </w:t>
      </w:r>
      <w:r w:rsidR="00BA51A9" w:rsidRPr="00C6104B">
        <w:rPr>
          <w:rFonts w:cs="Times New Roman"/>
          <w:szCs w:val="24"/>
        </w:rPr>
        <w:t>Africa,</w:t>
      </w:r>
      <w:r w:rsidR="00706F44" w:rsidRPr="00C6104B">
        <w:rPr>
          <w:rFonts w:cs="Times New Roman"/>
          <w:szCs w:val="24"/>
        </w:rPr>
        <w:t xml:space="preserve"> the pandemic has slowed down the sales throughout the region. in this market, the most prominent </w:t>
      </w:r>
      <w:r w:rsidR="00BA51A9" w:rsidRPr="00C6104B">
        <w:rPr>
          <w:rFonts w:cs="Times New Roman"/>
          <w:szCs w:val="24"/>
        </w:rPr>
        <w:t>distributors</w:t>
      </w:r>
      <w:r w:rsidR="00706F44" w:rsidRPr="00C6104B">
        <w:rPr>
          <w:rFonts w:cs="Times New Roman"/>
          <w:szCs w:val="24"/>
        </w:rPr>
        <w:t xml:space="preserve"> are brokers and agents driven by </w:t>
      </w:r>
      <w:r w:rsidR="00BA51A9" w:rsidRPr="00C6104B">
        <w:rPr>
          <w:rFonts w:cs="Times New Roman"/>
          <w:szCs w:val="24"/>
        </w:rPr>
        <w:t>SSA.besides, most</w:t>
      </w:r>
      <w:r w:rsidR="00706F44" w:rsidRPr="00C6104B">
        <w:rPr>
          <w:rFonts w:cs="Times New Roman"/>
          <w:szCs w:val="24"/>
        </w:rPr>
        <w:t xml:space="preserve"> consumers in these areas are not willing able to engage </w:t>
      </w:r>
      <w:r w:rsidR="00BA51A9" w:rsidRPr="00C6104B">
        <w:rPr>
          <w:rFonts w:cs="Times New Roman"/>
          <w:szCs w:val="24"/>
        </w:rPr>
        <w:t>digitally. The</w:t>
      </w:r>
      <w:r w:rsidR="00706F44" w:rsidRPr="00C6104B">
        <w:rPr>
          <w:rFonts w:cs="Times New Roman"/>
          <w:szCs w:val="24"/>
        </w:rPr>
        <w:t xml:space="preserve"> strict regulations </w:t>
      </w:r>
      <w:r w:rsidR="00BA51A9" w:rsidRPr="00C6104B">
        <w:rPr>
          <w:rFonts w:cs="Times New Roman"/>
          <w:szCs w:val="24"/>
        </w:rPr>
        <w:t>continue</w:t>
      </w:r>
      <w:r w:rsidR="00706F44" w:rsidRPr="00C6104B">
        <w:rPr>
          <w:rFonts w:cs="Times New Roman"/>
          <w:szCs w:val="24"/>
        </w:rPr>
        <w:t xml:space="preserve"> to restrict digital </w:t>
      </w:r>
      <w:r w:rsidR="00BA51A9" w:rsidRPr="00C6104B">
        <w:rPr>
          <w:rFonts w:cs="Times New Roman"/>
          <w:szCs w:val="24"/>
        </w:rPr>
        <w:t>sales. Most</w:t>
      </w:r>
      <w:r w:rsidR="00706F44" w:rsidRPr="00C6104B">
        <w:rPr>
          <w:rFonts w:cs="Times New Roman"/>
          <w:szCs w:val="24"/>
        </w:rPr>
        <w:t xml:space="preserve"> insurance companies in Africa have wit</w:t>
      </w:r>
      <w:r w:rsidR="00533D10" w:rsidRPr="00C6104B">
        <w:rPr>
          <w:rFonts w:cs="Times New Roman"/>
          <w:szCs w:val="24"/>
        </w:rPr>
        <w:t>nessed a decline in premium payments; there is also contains on income from both sector and individual specific</w:t>
      </w:r>
      <w:r w:rsidR="00C6104B" w:rsidRPr="00C6104B">
        <w:rPr>
          <w:rFonts w:cs="Times New Roman"/>
          <w:szCs w:val="24"/>
        </w:rPr>
        <w:t xml:space="preserve"> ("impact of COVID-19 on African insurance markets,")</w:t>
      </w:r>
      <w:r w:rsidR="00533D10" w:rsidRPr="00C6104B">
        <w:rPr>
          <w:rFonts w:cs="Times New Roman"/>
          <w:szCs w:val="24"/>
        </w:rPr>
        <w:t>.</w:t>
      </w:r>
    </w:p>
    <w:p w14:paraId="5D1BD2E3" w14:textId="0374E071" w:rsidR="00533D10" w:rsidRPr="00C6104B" w:rsidRDefault="00AC6C5E" w:rsidP="003B6143">
      <w:pPr>
        <w:rPr>
          <w:rFonts w:cs="Times New Roman"/>
          <w:szCs w:val="24"/>
        </w:rPr>
      </w:pPr>
      <w:r w:rsidRPr="00C6104B">
        <w:rPr>
          <w:rFonts w:cs="Times New Roman"/>
          <w:szCs w:val="24"/>
        </w:rPr>
        <w:tab/>
        <w:t xml:space="preserve">The insurance company is recovering through the key mitigating </w:t>
      </w:r>
      <w:r w:rsidR="00BA51A9" w:rsidRPr="00C6104B">
        <w:rPr>
          <w:rFonts w:cs="Times New Roman"/>
          <w:szCs w:val="24"/>
        </w:rPr>
        <w:t>measures. Insurers</w:t>
      </w:r>
      <w:r w:rsidRPr="00C6104B">
        <w:rPr>
          <w:rFonts w:cs="Times New Roman"/>
          <w:szCs w:val="24"/>
        </w:rPr>
        <w:t xml:space="preserve"> have implemented different cost-cutting measures to alleviate the future reduction in </w:t>
      </w:r>
      <w:r w:rsidR="00BA51A9" w:rsidRPr="00C6104B">
        <w:rPr>
          <w:rFonts w:cs="Times New Roman"/>
          <w:szCs w:val="24"/>
        </w:rPr>
        <w:t>revenue. The majority</w:t>
      </w:r>
      <w:r w:rsidRPr="00C6104B">
        <w:rPr>
          <w:rFonts w:cs="Times New Roman"/>
          <w:szCs w:val="24"/>
        </w:rPr>
        <w:t xml:space="preserve"> of the firm has reduced optional policyholder </w:t>
      </w:r>
      <w:r w:rsidR="00BA51A9" w:rsidRPr="00C6104B">
        <w:rPr>
          <w:rFonts w:cs="Times New Roman"/>
          <w:szCs w:val="24"/>
        </w:rPr>
        <w:t>profit-sharing</w:t>
      </w:r>
      <w:r w:rsidRPr="00C6104B">
        <w:rPr>
          <w:rFonts w:cs="Times New Roman"/>
          <w:szCs w:val="24"/>
        </w:rPr>
        <w:t xml:space="preserve">, specifically on insurance </w:t>
      </w:r>
      <w:r w:rsidR="00BA51A9" w:rsidRPr="00C6104B">
        <w:rPr>
          <w:rFonts w:cs="Times New Roman"/>
          <w:szCs w:val="24"/>
        </w:rPr>
        <w:t>products. Other</w:t>
      </w:r>
      <w:r w:rsidRPr="00C6104B">
        <w:rPr>
          <w:rFonts w:cs="Times New Roman"/>
          <w:szCs w:val="24"/>
        </w:rPr>
        <w:t xml:space="preserve"> firms have temporarily withdrawn the underwriting of life insurance policies because of the low-interest </w:t>
      </w:r>
      <w:r w:rsidR="00BA51A9" w:rsidRPr="00C6104B">
        <w:rPr>
          <w:rFonts w:cs="Times New Roman"/>
          <w:szCs w:val="24"/>
        </w:rPr>
        <w:t xml:space="preserve">rate. </w:t>
      </w:r>
      <w:r w:rsidRPr="00C6104B">
        <w:rPr>
          <w:rFonts w:cs="Times New Roman"/>
          <w:szCs w:val="24"/>
        </w:rPr>
        <w:t xml:space="preserve">Besides, insurance </w:t>
      </w:r>
      <w:r w:rsidR="00BA51A9" w:rsidRPr="00C6104B">
        <w:rPr>
          <w:rFonts w:cs="Times New Roman"/>
          <w:szCs w:val="24"/>
        </w:rPr>
        <w:t>firms</w:t>
      </w:r>
      <w:r w:rsidRPr="00C6104B">
        <w:rPr>
          <w:rFonts w:cs="Times New Roman"/>
          <w:szCs w:val="24"/>
        </w:rPr>
        <w:t xml:space="preserve"> have made adjustments to their pricing specifically for saving </w:t>
      </w:r>
      <w:r w:rsidR="00BA51A9" w:rsidRPr="00C6104B">
        <w:rPr>
          <w:rFonts w:cs="Times New Roman"/>
          <w:szCs w:val="24"/>
        </w:rPr>
        <w:t>products. Other</w:t>
      </w:r>
      <w:r w:rsidRPr="00C6104B">
        <w:rPr>
          <w:rFonts w:cs="Times New Roman"/>
          <w:szCs w:val="24"/>
        </w:rPr>
        <w:t xml:space="preserve"> insurers have in</w:t>
      </w:r>
      <w:r w:rsidR="00BA51A9" w:rsidRPr="00C6104B">
        <w:rPr>
          <w:rFonts w:cs="Times New Roman"/>
          <w:szCs w:val="24"/>
        </w:rPr>
        <w:t>creased the contingency funding and liquidity monitoring. The last measure is the increase of cash buffers at different levels</w:t>
      </w:r>
      <w:r w:rsidR="00C6104B" w:rsidRPr="00C6104B">
        <w:rPr>
          <w:rFonts w:cs="Times New Roman"/>
          <w:szCs w:val="24"/>
        </w:rPr>
        <w:t xml:space="preserve"> ("impact of COVID-19 on African insurance markets,").</w:t>
      </w:r>
    </w:p>
    <w:p w14:paraId="5F26FC80" w14:textId="310CDC37" w:rsidR="00C764E9" w:rsidRPr="00C6104B" w:rsidRDefault="00C764E9" w:rsidP="003B6143">
      <w:pPr>
        <w:rPr>
          <w:rFonts w:cs="Times New Roman"/>
          <w:szCs w:val="24"/>
        </w:rPr>
      </w:pPr>
    </w:p>
    <w:p w14:paraId="09C20441" w14:textId="77777777" w:rsidR="00C6104B" w:rsidRPr="00E12916" w:rsidRDefault="00C6104B" w:rsidP="00C6104B">
      <w:pPr>
        <w:shd w:val="clear" w:color="auto" w:fill="FFFFFF"/>
        <w:spacing w:line="240" w:lineRule="auto"/>
        <w:jc w:val="center"/>
        <w:rPr>
          <w:rFonts w:eastAsia="Times New Roman" w:cs="Times New Roman"/>
          <w:szCs w:val="24"/>
        </w:rPr>
      </w:pPr>
      <w:r w:rsidRPr="00E12916">
        <w:rPr>
          <w:rFonts w:eastAsia="Times New Roman" w:cs="Times New Roman"/>
          <w:szCs w:val="24"/>
        </w:rPr>
        <w:t>References</w:t>
      </w:r>
    </w:p>
    <w:p w14:paraId="7329F139" w14:textId="77777777" w:rsidR="00C6104B" w:rsidRPr="00E12916" w:rsidRDefault="00C6104B" w:rsidP="00C6104B">
      <w:pPr>
        <w:shd w:val="clear" w:color="auto" w:fill="FFFFFF"/>
        <w:spacing w:line="550" w:lineRule="atLeast"/>
        <w:ind w:left="720" w:right="75" w:hanging="720"/>
        <w:rPr>
          <w:rFonts w:eastAsia="Times New Roman" w:cs="Times New Roman"/>
          <w:szCs w:val="24"/>
        </w:rPr>
      </w:pPr>
      <w:r w:rsidRPr="00E12916">
        <w:rPr>
          <w:rFonts w:eastAsia="Times New Roman" w:cs="Times New Roman"/>
          <w:i/>
          <w:iCs/>
          <w:szCs w:val="24"/>
        </w:rPr>
        <w:t>2020 insurance year in review and the impact of COVID-19 | Expert commentary | IRMI.com</w:t>
      </w:r>
      <w:r w:rsidRPr="00E12916">
        <w:rPr>
          <w:rFonts w:eastAsia="Times New Roman" w:cs="Times New Roman"/>
          <w:szCs w:val="24"/>
        </w:rPr>
        <w:t>. (n.d.). Risk Management | Insurance Education | Insurance Information | IRMI.com. </w:t>
      </w:r>
      <w:hyperlink r:id="rId6" w:history="1">
        <w:r w:rsidRPr="00E12916">
          <w:rPr>
            <w:rFonts w:eastAsia="Times New Roman" w:cs="Times New Roman"/>
            <w:szCs w:val="24"/>
            <w:u w:val="single"/>
          </w:rPr>
          <w:t>https://www.irmi.com/articles/expert-commentary/2020-insurance-year-in-review-and-the-impact-of-covid-19</w:t>
        </w:r>
      </w:hyperlink>
    </w:p>
    <w:p w14:paraId="2B182014" w14:textId="77777777" w:rsidR="00C6104B" w:rsidRPr="00E12916" w:rsidRDefault="00C6104B" w:rsidP="00C6104B">
      <w:pPr>
        <w:shd w:val="clear" w:color="auto" w:fill="FFFFFF"/>
        <w:spacing w:line="550" w:lineRule="atLeast"/>
        <w:ind w:left="720" w:right="75" w:hanging="720"/>
        <w:rPr>
          <w:rFonts w:eastAsia="Times New Roman" w:cs="Times New Roman"/>
          <w:szCs w:val="24"/>
        </w:rPr>
      </w:pPr>
      <w:proofErr w:type="spellStart"/>
      <w:r w:rsidRPr="00E12916">
        <w:rPr>
          <w:rFonts w:eastAsia="Times New Roman" w:cs="Times New Roman"/>
          <w:szCs w:val="24"/>
        </w:rPr>
        <w:lastRenderedPageBreak/>
        <w:t>Haq</w:t>
      </w:r>
      <w:proofErr w:type="spellEnd"/>
      <w:r w:rsidRPr="00E12916">
        <w:rPr>
          <w:rFonts w:eastAsia="Times New Roman" w:cs="Times New Roman"/>
          <w:szCs w:val="24"/>
        </w:rPr>
        <w:t>, M. N. (2020). Impact of covid 19 on the global economy. </w:t>
      </w:r>
      <w:r w:rsidRPr="00E12916">
        <w:rPr>
          <w:rFonts w:eastAsia="Times New Roman" w:cs="Times New Roman"/>
          <w:i/>
          <w:iCs/>
          <w:szCs w:val="24"/>
        </w:rPr>
        <w:t>COVID-19 Pandemic update 2020</w:t>
      </w:r>
      <w:r w:rsidRPr="00E12916">
        <w:rPr>
          <w:rFonts w:eastAsia="Times New Roman" w:cs="Times New Roman"/>
          <w:szCs w:val="24"/>
        </w:rPr>
        <w:t>, 208-213. </w:t>
      </w:r>
      <w:hyperlink r:id="rId7" w:history="1">
        <w:r w:rsidRPr="00E12916">
          <w:rPr>
            <w:rFonts w:eastAsia="Times New Roman" w:cs="Times New Roman"/>
            <w:szCs w:val="24"/>
            <w:u w:val="single"/>
          </w:rPr>
          <w:t>https://doi.org/10.26524/royal.37.20</w:t>
        </w:r>
      </w:hyperlink>
    </w:p>
    <w:p w14:paraId="57936938" w14:textId="77777777" w:rsidR="00C6104B" w:rsidRPr="00E12916" w:rsidRDefault="00C6104B" w:rsidP="00C6104B">
      <w:pPr>
        <w:shd w:val="clear" w:color="auto" w:fill="FFFFFF"/>
        <w:spacing w:line="550" w:lineRule="atLeast"/>
        <w:ind w:left="720" w:right="75" w:hanging="720"/>
        <w:rPr>
          <w:rFonts w:eastAsia="Times New Roman" w:cs="Times New Roman"/>
          <w:szCs w:val="24"/>
        </w:rPr>
      </w:pPr>
      <w:r w:rsidRPr="00E12916">
        <w:rPr>
          <w:rFonts w:eastAsia="Times New Roman" w:cs="Times New Roman"/>
          <w:i/>
          <w:iCs/>
          <w:szCs w:val="24"/>
        </w:rPr>
        <w:t>The impact of COVID-19 on African insurance markets</w:t>
      </w:r>
      <w:r w:rsidRPr="00E12916">
        <w:rPr>
          <w:rFonts w:eastAsia="Times New Roman" w:cs="Times New Roman"/>
          <w:szCs w:val="24"/>
        </w:rPr>
        <w:t>. (n.d.). MFW4A - Making Finance Work for Africa. </w:t>
      </w:r>
      <w:hyperlink r:id="rId8" w:history="1">
        <w:r w:rsidRPr="00E12916">
          <w:rPr>
            <w:rFonts w:eastAsia="Times New Roman" w:cs="Times New Roman"/>
            <w:szCs w:val="24"/>
            <w:u w:val="single"/>
          </w:rPr>
          <w:t>https://www.mfw4a.org/publication/impact-covid-19-african-insurance-markets</w:t>
        </w:r>
      </w:hyperlink>
    </w:p>
    <w:p w14:paraId="4D386DE6" w14:textId="77777777" w:rsidR="00C6104B" w:rsidRPr="00E12916" w:rsidRDefault="00C6104B" w:rsidP="00C6104B">
      <w:pPr>
        <w:shd w:val="clear" w:color="auto" w:fill="FFFFFF"/>
        <w:spacing w:line="550" w:lineRule="atLeast"/>
        <w:ind w:left="720" w:right="75" w:hanging="720"/>
        <w:rPr>
          <w:rFonts w:eastAsia="Times New Roman" w:cs="Times New Roman"/>
          <w:szCs w:val="24"/>
        </w:rPr>
      </w:pPr>
      <w:r w:rsidRPr="00E12916">
        <w:rPr>
          <w:rFonts w:eastAsia="Times New Roman" w:cs="Times New Roman"/>
          <w:szCs w:val="24"/>
        </w:rPr>
        <w:t>M, S. K. (2020). The impact of the COVID-19 pandemic on the insurance market. </w:t>
      </w:r>
      <w:r w:rsidRPr="00E12916">
        <w:rPr>
          <w:rFonts w:eastAsia="Times New Roman" w:cs="Times New Roman"/>
          <w:i/>
          <w:iCs/>
          <w:szCs w:val="24"/>
        </w:rPr>
        <w:t>International Journal of Psychosocial Rehabilitation</w:t>
      </w:r>
      <w:r w:rsidRPr="00E12916">
        <w:rPr>
          <w:rFonts w:eastAsia="Times New Roman" w:cs="Times New Roman"/>
          <w:szCs w:val="24"/>
        </w:rPr>
        <w:t>, </w:t>
      </w:r>
      <w:r w:rsidRPr="00E12916">
        <w:rPr>
          <w:rFonts w:eastAsia="Times New Roman" w:cs="Times New Roman"/>
          <w:i/>
          <w:iCs/>
          <w:szCs w:val="24"/>
        </w:rPr>
        <w:t>24</w:t>
      </w:r>
      <w:r w:rsidRPr="00E12916">
        <w:rPr>
          <w:rFonts w:eastAsia="Times New Roman" w:cs="Times New Roman"/>
          <w:szCs w:val="24"/>
        </w:rPr>
        <w:t>(4), 6502-6509. </w:t>
      </w:r>
      <w:hyperlink r:id="rId9" w:history="1">
        <w:r w:rsidRPr="00E12916">
          <w:rPr>
            <w:rFonts w:eastAsia="Times New Roman" w:cs="Times New Roman"/>
            <w:szCs w:val="24"/>
            <w:u w:val="single"/>
          </w:rPr>
          <w:t>https://doi.org/10.37200/ijpr/v24i4/pr2020459</w:t>
        </w:r>
      </w:hyperlink>
    </w:p>
    <w:p w14:paraId="08DCE142" w14:textId="77777777" w:rsidR="00C6104B" w:rsidRPr="00C6104B" w:rsidRDefault="00C6104B" w:rsidP="00C6104B">
      <w:pPr>
        <w:jc w:val="center"/>
        <w:rPr>
          <w:rFonts w:cs="Times New Roman"/>
          <w:szCs w:val="24"/>
        </w:rPr>
      </w:pPr>
    </w:p>
    <w:p w14:paraId="5568F55B" w14:textId="77777777" w:rsidR="00C6104B" w:rsidRPr="00C6104B" w:rsidRDefault="00C6104B" w:rsidP="003B6143">
      <w:pPr>
        <w:rPr>
          <w:rFonts w:cs="Times New Roman"/>
          <w:szCs w:val="24"/>
        </w:rPr>
      </w:pPr>
    </w:p>
    <w:p w14:paraId="3C3AD53F" w14:textId="3813AEB9" w:rsidR="00C764E9" w:rsidRPr="00C6104B" w:rsidRDefault="00C764E9" w:rsidP="003B6143">
      <w:pPr>
        <w:rPr>
          <w:rFonts w:cs="Times New Roman"/>
          <w:szCs w:val="24"/>
        </w:rPr>
      </w:pPr>
    </w:p>
    <w:p w14:paraId="6622CB11" w14:textId="5FD53F8A" w:rsidR="00C764E9" w:rsidRPr="00C6104B" w:rsidRDefault="00C764E9" w:rsidP="003B6143">
      <w:pPr>
        <w:rPr>
          <w:rFonts w:cs="Times New Roman"/>
          <w:szCs w:val="24"/>
        </w:rPr>
      </w:pPr>
    </w:p>
    <w:p w14:paraId="12F36E59" w14:textId="1FDCFE50" w:rsidR="00C764E9" w:rsidRPr="00C6104B" w:rsidRDefault="00C764E9" w:rsidP="003B6143">
      <w:pPr>
        <w:rPr>
          <w:rFonts w:cs="Times New Roman"/>
          <w:szCs w:val="24"/>
        </w:rPr>
      </w:pPr>
    </w:p>
    <w:p w14:paraId="7C14FC74" w14:textId="4C25F396" w:rsidR="00C764E9" w:rsidRPr="00C6104B" w:rsidRDefault="00C764E9" w:rsidP="003B6143">
      <w:pPr>
        <w:rPr>
          <w:rFonts w:cs="Times New Roman"/>
          <w:szCs w:val="24"/>
        </w:rPr>
      </w:pPr>
    </w:p>
    <w:p w14:paraId="66FEAEA9" w14:textId="537F7C2F" w:rsidR="00C764E9" w:rsidRPr="00C6104B" w:rsidRDefault="00C764E9" w:rsidP="003B6143">
      <w:pPr>
        <w:rPr>
          <w:rFonts w:cs="Times New Roman"/>
          <w:szCs w:val="24"/>
        </w:rPr>
      </w:pPr>
    </w:p>
    <w:p w14:paraId="5CCBFB67" w14:textId="18788094" w:rsidR="00C764E9" w:rsidRPr="00C6104B" w:rsidRDefault="00C764E9" w:rsidP="003B6143">
      <w:pPr>
        <w:rPr>
          <w:rFonts w:cs="Times New Roman"/>
          <w:szCs w:val="24"/>
        </w:rPr>
      </w:pPr>
    </w:p>
    <w:p w14:paraId="61E95F4B" w14:textId="50F99C8F" w:rsidR="00C764E9" w:rsidRPr="00C6104B" w:rsidRDefault="00C764E9" w:rsidP="003B6143">
      <w:pPr>
        <w:rPr>
          <w:rFonts w:cs="Times New Roman"/>
          <w:szCs w:val="24"/>
        </w:rPr>
      </w:pPr>
    </w:p>
    <w:p w14:paraId="12F7EB66" w14:textId="4C0E6C8A" w:rsidR="00C764E9" w:rsidRPr="00C6104B" w:rsidRDefault="00C764E9" w:rsidP="003B6143">
      <w:pPr>
        <w:rPr>
          <w:rFonts w:cs="Times New Roman"/>
          <w:szCs w:val="24"/>
        </w:rPr>
      </w:pPr>
    </w:p>
    <w:p w14:paraId="6066C4B8" w14:textId="6195B7D5" w:rsidR="00C764E9" w:rsidRPr="00C6104B" w:rsidRDefault="00C764E9" w:rsidP="003B6143">
      <w:pPr>
        <w:rPr>
          <w:rFonts w:cs="Times New Roman"/>
          <w:szCs w:val="24"/>
        </w:rPr>
      </w:pPr>
    </w:p>
    <w:p w14:paraId="47BA6349" w14:textId="547FB97D" w:rsidR="00C764E9" w:rsidRPr="00C6104B" w:rsidRDefault="00C764E9" w:rsidP="003B6143">
      <w:pPr>
        <w:rPr>
          <w:rFonts w:cs="Times New Roman"/>
          <w:szCs w:val="24"/>
        </w:rPr>
      </w:pPr>
    </w:p>
    <w:p w14:paraId="42FBE5AC" w14:textId="54A6DB96" w:rsidR="00C764E9" w:rsidRPr="00C6104B" w:rsidRDefault="00C764E9" w:rsidP="003B6143">
      <w:pPr>
        <w:rPr>
          <w:rFonts w:cs="Times New Roman"/>
          <w:szCs w:val="24"/>
        </w:rPr>
      </w:pPr>
    </w:p>
    <w:p w14:paraId="2042FD1C" w14:textId="44F4D910" w:rsidR="00C764E9" w:rsidRPr="00C6104B" w:rsidRDefault="00C764E9" w:rsidP="003B6143">
      <w:pPr>
        <w:rPr>
          <w:rFonts w:cs="Times New Roman"/>
          <w:szCs w:val="24"/>
        </w:rPr>
      </w:pPr>
    </w:p>
    <w:p w14:paraId="00381601" w14:textId="02B0DA04" w:rsidR="00C764E9" w:rsidRPr="00C6104B" w:rsidRDefault="00C764E9" w:rsidP="003B6143">
      <w:pPr>
        <w:rPr>
          <w:rFonts w:cs="Times New Roman"/>
          <w:szCs w:val="24"/>
        </w:rPr>
      </w:pPr>
    </w:p>
    <w:p w14:paraId="55A88107" w14:textId="3C6ACCE3" w:rsidR="00C764E9" w:rsidRPr="00C6104B" w:rsidRDefault="00C764E9" w:rsidP="003B6143">
      <w:pPr>
        <w:rPr>
          <w:rFonts w:cs="Times New Roman"/>
          <w:szCs w:val="24"/>
        </w:rPr>
      </w:pPr>
    </w:p>
    <w:p w14:paraId="6842F4D5" w14:textId="6BB77D72" w:rsidR="00C764E9" w:rsidRPr="00C6104B" w:rsidRDefault="00C764E9" w:rsidP="003B6143">
      <w:pPr>
        <w:rPr>
          <w:rFonts w:cs="Times New Roman"/>
          <w:szCs w:val="24"/>
        </w:rPr>
      </w:pPr>
    </w:p>
    <w:p w14:paraId="79547818" w14:textId="38903053" w:rsidR="00C764E9" w:rsidRPr="00C6104B" w:rsidRDefault="00C764E9" w:rsidP="003B6143">
      <w:pPr>
        <w:rPr>
          <w:rFonts w:cs="Times New Roman"/>
          <w:szCs w:val="24"/>
        </w:rPr>
      </w:pPr>
    </w:p>
    <w:p w14:paraId="0E9AA085" w14:textId="5D0CC2EA" w:rsidR="00C764E9" w:rsidRPr="00C6104B" w:rsidRDefault="00C764E9" w:rsidP="003B6143">
      <w:pPr>
        <w:rPr>
          <w:rFonts w:cs="Times New Roman"/>
          <w:szCs w:val="24"/>
        </w:rPr>
      </w:pPr>
    </w:p>
    <w:p w14:paraId="4D9E787A" w14:textId="5380C89F" w:rsidR="00C764E9" w:rsidRPr="00C6104B" w:rsidRDefault="00C764E9" w:rsidP="003B6143">
      <w:pPr>
        <w:rPr>
          <w:rFonts w:cs="Times New Roman"/>
          <w:szCs w:val="24"/>
        </w:rPr>
      </w:pPr>
    </w:p>
    <w:p w14:paraId="0E9D4F9C" w14:textId="4403D0F7" w:rsidR="00C764E9" w:rsidRPr="00C6104B" w:rsidRDefault="00C764E9" w:rsidP="003B6143">
      <w:pPr>
        <w:rPr>
          <w:rFonts w:cs="Times New Roman"/>
          <w:szCs w:val="24"/>
        </w:rPr>
      </w:pPr>
    </w:p>
    <w:p w14:paraId="61745D88" w14:textId="77777777" w:rsidR="00C764E9" w:rsidRPr="00C6104B" w:rsidRDefault="00C764E9" w:rsidP="003B6143">
      <w:pPr>
        <w:rPr>
          <w:rFonts w:cs="Times New Roman"/>
          <w:szCs w:val="24"/>
        </w:rPr>
      </w:pPr>
    </w:p>
    <w:p w14:paraId="3E0DDF79" w14:textId="77777777" w:rsidR="00C764E9" w:rsidRPr="00C6104B" w:rsidRDefault="00AC6C5E" w:rsidP="00C764E9">
      <w:pPr>
        <w:shd w:val="clear" w:color="auto" w:fill="FFFFFF"/>
        <w:spacing w:line="240" w:lineRule="auto"/>
        <w:jc w:val="center"/>
        <w:rPr>
          <w:rFonts w:eastAsia="Times New Roman" w:cs="Times New Roman"/>
          <w:szCs w:val="24"/>
        </w:rPr>
      </w:pPr>
      <w:r w:rsidRPr="00C6104B">
        <w:rPr>
          <w:rFonts w:eastAsia="Times New Roman" w:cs="Times New Roman"/>
          <w:szCs w:val="24"/>
        </w:rPr>
        <w:t>References</w:t>
      </w:r>
    </w:p>
    <w:p w14:paraId="3542F25C" w14:textId="77777777" w:rsidR="00C764E9" w:rsidRPr="00C6104B" w:rsidRDefault="00AC6C5E" w:rsidP="00C764E9">
      <w:pPr>
        <w:shd w:val="clear" w:color="auto" w:fill="FFFFFF"/>
        <w:spacing w:line="550" w:lineRule="atLeast"/>
        <w:ind w:left="720" w:right="75" w:hanging="720"/>
        <w:rPr>
          <w:rFonts w:eastAsia="Times New Roman" w:cs="Times New Roman"/>
          <w:szCs w:val="24"/>
        </w:rPr>
      </w:pPr>
      <w:r w:rsidRPr="00C6104B">
        <w:rPr>
          <w:rFonts w:eastAsia="Times New Roman" w:cs="Times New Roman"/>
          <w:i/>
          <w:iCs/>
          <w:szCs w:val="24"/>
        </w:rPr>
        <w:t>2020 insurance year in review and the impact of COVID-19 | Expert commentary | IRMI.com</w:t>
      </w:r>
      <w:r w:rsidRPr="00C6104B">
        <w:rPr>
          <w:rFonts w:eastAsia="Times New Roman" w:cs="Times New Roman"/>
          <w:szCs w:val="24"/>
        </w:rPr>
        <w:t>. (n.d.). Risk Management | Insurance Education | Insurance Information | IRMI.com. </w:t>
      </w:r>
      <w:hyperlink r:id="rId10" w:history="1">
        <w:r w:rsidRPr="00C6104B">
          <w:rPr>
            <w:rFonts w:eastAsia="Times New Roman" w:cs="Times New Roman"/>
            <w:szCs w:val="24"/>
            <w:u w:val="single"/>
          </w:rPr>
          <w:t>https://www.irmi.com/articles/expert-commentary/2020-insurance-year-in-review-and-the-impact-of-covid-19</w:t>
        </w:r>
      </w:hyperlink>
    </w:p>
    <w:p w14:paraId="64587F3F" w14:textId="77777777" w:rsidR="00C764E9" w:rsidRPr="00C6104B" w:rsidRDefault="00AC6C5E" w:rsidP="00C764E9">
      <w:pPr>
        <w:shd w:val="clear" w:color="auto" w:fill="FFFFFF"/>
        <w:spacing w:line="550" w:lineRule="atLeast"/>
        <w:ind w:left="720" w:right="75" w:hanging="720"/>
        <w:rPr>
          <w:rFonts w:eastAsia="Times New Roman" w:cs="Times New Roman"/>
          <w:szCs w:val="24"/>
        </w:rPr>
      </w:pPr>
      <w:r w:rsidRPr="00C6104B">
        <w:rPr>
          <w:rFonts w:eastAsia="Times New Roman" w:cs="Times New Roman"/>
          <w:szCs w:val="24"/>
        </w:rPr>
        <w:t>Haq, M. N. (2020). Impact of covid 19 on the global economy. </w:t>
      </w:r>
      <w:r w:rsidRPr="00C6104B">
        <w:rPr>
          <w:rFonts w:eastAsia="Times New Roman" w:cs="Times New Roman"/>
          <w:i/>
          <w:iCs/>
          <w:szCs w:val="24"/>
        </w:rPr>
        <w:t>COVID-19 Pandemic update 2020</w:t>
      </w:r>
      <w:r w:rsidRPr="00C6104B">
        <w:rPr>
          <w:rFonts w:eastAsia="Times New Roman" w:cs="Times New Roman"/>
          <w:szCs w:val="24"/>
        </w:rPr>
        <w:t>, 208-213. </w:t>
      </w:r>
      <w:hyperlink r:id="rId11" w:history="1">
        <w:r w:rsidRPr="00C6104B">
          <w:rPr>
            <w:rFonts w:eastAsia="Times New Roman" w:cs="Times New Roman"/>
            <w:szCs w:val="24"/>
            <w:u w:val="single"/>
          </w:rPr>
          <w:t>https://doi.org/10.26524/royal.37.20</w:t>
        </w:r>
      </w:hyperlink>
    </w:p>
    <w:p w14:paraId="32168D32" w14:textId="77777777" w:rsidR="00C764E9" w:rsidRPr="00C6104B" w:rsidRDefault="00AC6C5E" w:rsidP="00C764E9">
      <w:pPr>
        <w:shd w:val="clear" w:color="auto" w:fill="FFFFFF"/>
        <w:spacing w:line="550" w:lineRule="atLeast"/>
        <w:ind w:left="720" w:right="75" w:hanging="720"/>
        <w:rPr>
          <w:rFonts w:eastAsia="Times New Roman" w:cs="Times New Roman"/>
          <w:szCs w:val="24"/>
        </w:rPr>
      </w:pPr>
      <w:r w:rsidRPr="00C6104B">
        <w:rPr>
          <w:rFonts w:eastAsia="Times New Roman" w:cs="Times New Roman"/>
          <w:szCs w:val="24"/>
        </w:rPr>
        <w:t>M, S. K. (2020). The impact of the COVID-19 pandemic on the insurance market. </w:t>
      </w:r>
      <w:r w:rsidRPr="00C6104B">
        <w:rPr>
          <w:rFonts w:eastAsia="Times New Roman" w:cs="Times New Roman"/>
          <w:i/>
          <w:iCs/>
          <w:szCs w:val="24"/>
        </w:rPr>
        <w:t>International Journal of Psychosocial Rehabilitation</w:t>
      </w:r>
      <w:r w:rsidRPr="00C6104B">
        <w:rPr>
          <w:rFonts w:eastAsia="Times New Roman" w:cs="Times New Roman"/>
          <w:szCs w:val="24"/>
        </w:rPr>
        <w:t>, </w:t>
      </w:r>
      <w:r w:rsidRPr="00C6104B">
        <w:rPr>
          <w:rFonts w:eastAsia="Times New Roman" w:cs="Times New Roman"/>
          <w:i/>
          <w:iCs/>
          <w:szCs w:val="24"/>
        </w:rPr>
        <w:t>24</w:t>
      </w:r>
      <w:r w:rsidRPr="00C6104B">
        <w:rPr>
          <w:rFonts w:eastAsia="Times New Roman" w:cs="Times New Roman"/>
          <w:szCs w:val="24"/>
        </w:rPr>
        <w:t>(4), 6502-6509. </w:t>
      </w:r>
      <w:hyperlink r:id="rId12" w:history="1">
        <w:r w:rsidRPr="00C6104B">
          <w:rPr>
            <w:rFonts w:eastAsia="Times New Roman" w:cs="Times New Roman"/>
            <w:szCs w:val="24"/>
            <w:u w:val="single"/>
          </w:rPr>
          <w:t>https://doi.org/10.37200/ijpr/v24i4/pr2020459</w:t>
        </w:r>
      </w:hyperlink>
    </w:p>
    <w:p w14:paraId="55C40FE6" w14:textId="77777777" w:rsidR="00C764E9" w:rsidRPr="00C6104B" w:rsidRDefault="00C764E9" w:rsidP="003B6143">
      <w:pPr>
        <w:rPr>
          <w:rFonts w:cs="Times New Roman"/>
          <w:szCs w:val="24"/>
        </w:rPr>
      </w:pPr>
    </w:p>
    <w:p w14:paraId="3016E721" w14:textId="77777777" w:rsidR="003B6143" w:rsidRPr="00C6104B" w:rsidRDefault="003B6143" w:rsidP="003B6143">
      <w:pPr>
        <w:jc w:val="center"/>
        <w:rPr>
          <w:rFonts w:cs="Times New Roman"/>
          <w:szCs w:val="24"/>
        </w:rPr>
      </w:pPr>
    </w:p>
    <w:sectPr w:rsidR="003B6143" w:rsidRPr="00C6104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23A76" w14:textId="77777777" w:rsidR="00AC6C5E" w:rsidRDefault="00AC6C5E">
      <w:pPr>
        <w:spacing w:line="240" w:lineRule="auto"/>
      </w:pPr>
      <w:r>
        <w:separator/>
      </w:r>
    </w:p>
  </w:endnote>
  <w:endnote w:type="continuationSeparator" w:id="0">
    <w:p w14:paraId="3578CA99" w14:textId="77777777" w:rsidR="00AC6C5E" w:rsidRDefault="00AC6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3AC49C" w14:textId="77777777" w:rsidR="00AC6C5E" w:rsidRDefault="00AC6C5E">
      <w:pPr>
        <w:spacing w:line="240" w:lineRule="auto"/>
      </w:pPr>
      <w:r>
        <w:separator/>
      </w:r>
    </w:p>
  </w:footnote>
  <w:footnote w:type="continuationSeparator" w:id="0">
    <w:p w14:paraId="2E1A132A" w14:textId="77777777" w:rsidR="00AC6C5E" w:rsidRDefault="00AC6C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8119990"/>
      <w:docPartObj>
        <w:docPartGallery w:val="Page Numbers (Top of Page)"/>
        <w:docPartUnique/>
      </w:docPartObj>
    </w:sdtPr>
    <w:sdtEndPr>
      <w:rPr>
        <w:noProof/>
      </w:rPr>
    </w:sdtEndPr>
    <w:sdtContent>
      <w:p w14:paraId="057D9442" w14:textId="3D979C1C" w:rsidR="003B6143" w:rsidRDefault="00AC6C5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3C151D6" w14:textId="77777777" w:rsidR="003B6143" w:rsidRDefault="003B61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43"/>
    <w:rsid w:val="0001098A"/>
    <w:rsid w:val="00025C00"/>
    <w:rsid w:val="000C2AB8"/>
    <w:rsid w:val="000E6A4A"/>
    <w:rsid w:val="001C4CD1"/>
    <w:rsid w:val="001C63B8"/>
    <w:rsid w:val="001F558B"/>
    <w:rsid w:val="00264955"/>
    <w:rsid w:val="00274904"/>
    <w:rsid w:val="002853EC"/>
    <w:rsid w:val="00323F97"/>
    <w:rsid w:val="003862E5"/>
    <w:rsid w:val="003B6143"/>
    <w:rsid w:val="00403EE1"/>
    <w:rsid w:val="004A5A60"/>
    <w:rsid w:val="00533D10"/>
    <w:rsid w:val="00537BDA"/>
    <w:rsid w:val="00706F44"/>
    <w:rsid w:val="00731A0D"/>
    <w:rsid w:val="007A3E1E"/>
    <w:rsid w:val="007B690F"/>
    <w:rsid w:val="008E2C11"/>
    <w:rsid w:val="008E4EA9"/>
    <w:rsid w:val="00960321"/>
    <w:rsid w:val="009B0025"/>
    <w:rsid w:val="009C3B55"/>
    <w:rsid w:val="00A40EC6"/>
    <w:rsid w:val="00AC6C5E"/>
    <w:rsid w:val="00B00F3D"/>
    <w:rsid w:val="00BA51A9"/>
    <w:rsid w:val="00BE0B2F"/>
    <w:rsid w:val="00BE2972"/>
    <w:rsid w:val="00C6104B"/>
    <w:rsid w:val="00C764E9"/>
    <w:rsid w:val="00C91DE3"/>
    <w:rsid w:val="00CA212C"/>
    <w:rsid w:val="00E72E7F"/>
    <w:rsid w:val="00EA4E60"/>
    <w:rsid w:val="00EF1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2DBDF"/>
  <w15:chartTrackingRefBased/>
  <w15:docId w15:val="{6E2B3256-CB49-46A3-AA91-7FE93DB6E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143"/>
    <w:pPr>
      <w:tabs>
        <w:tab w:val="center" w:pos="4680"/>
        <w:tab w:val="right" w:pos="9360"/>
      </w:tabs>
      <w:spacing w:line="240" w:lineRule="auto"/>
    </w:pPr>
  </w:style>
  <w:style w:type="character" w:customStyle="1" w:styleId="HeaderChar">
    <w:name w:val="Header Char"/>
    <w:basedOn w:val="DefaultParagraphFont"/>
    <w:link w:val="Header"/>
    <w:uiPriority w:val="99"/>
    <w:rsid w:val="003B6143"/>
  </w:style>
  <w:style w:type="paragraph" w:styleId="Footer">
    <w:name w:val="footer"/>
    <w:basedOn w:val="Normal"/>
    <w:link w:val="FooterChar"/>
    <w:uiPriority w:val="99"/>
    <w:unhideWhenUsed/>
    <w:rsid w:val="003B6143"/>
    <w:pPr>
      <w:tabs>
        <w:tab w:val="center" w:pos="4680"/>
        <w:tab w:val="right" w:pos="9360"/>
      </w:tabs>
      <w:spacing w:line="240" w:lineRule="auto"/>
    </w:pPr>
  </w:style>
  <w:style w:type="character" w:customStyle="1" w:styleId="FooterChar">
    <w:name w:val="Footer Char"/>
    <w:basedOn w:val="DefaultParagraphFont"/>
    <w:link w:val="Footer"/>
    <w:uiPriority w:val="99"/>
    <w:rsid w:val="003B6143"/>
  </w:style>
  <w:style w:type="paragraph" w:styleId="NormalWeb">
    <w:name w:val="Normal (Web)"/>
    <w:basedOn w:val="Normal"/>
    <w:uiPriority w:val="99"/>
    <w:semiHidden/>
    <w:unhideWhenUsed/>
    <w:rsid w:val="00C764E9"/>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764E9"/>
    <w:rPr>
      <w:i/>
      <w:iCs/>
    </w:rPr>
  </w:style>
  <w:style w:type="character" w:styleId="Hyperlink">
    <w:name w:val="Hyperlink"/>
    <w:basedOn w:val="DefaultParagraphFont"/>
    <w:uiPriority w:val="99"/>
    <w:semiHidden/>
    <w:unhideWhenUsed/>
    <w:rsid w:val="00C76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fw4a.org/publication/impact-covid-19-african-insurance-markets" TargetMode="External" /><Relationship Id="rId13"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26524/royal.37.20" TargetMode="External" /><Relationship Id="rId12" Type="http://schemas.openxmlformats.org/officeDocument/2006/relationships/hyperlink" Target="https://doi.org/10.37200/ijpr/v24i4/pr2020459"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irmi.com/articles/expert-commentary/2020-insurance-year-in-review-and-the-impact-of-covid-19" TargetMode="External" /><Relationship Id="rId11" Type="http://schemas.openxmlformats.org/officeDocument/2006/relationships/hyperlink" Target="https://doi.org/10.26524/royal.37.20" TargetMode="Externa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yperlink" Target="https://www.irmi.com/articles/expert-commentary/2020-insurance-year-in-review-and-the-impact-of-covid-19" TargetMode="External" /><Relationship Id="rId4" Type="http://schemas.openxmlformats.org/officeDocument/2006/relationships/footnotes" Target="footnotes.xml" /><Relationship Id="rId9" Type="http://schemas.openxmlformats.org/officeDocument/2006/relationships/hyperlink" Target="https://doi.org/10.37200/ijpr/v24i4/pr2020459"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2021-10-07T18:42:00Z</dcterms:created>
  <dcterms:modified xsi:type="dcterms:W3CDTF">2021-10-07T18:42:00Z</dcterms:modified>
</cp:coreProperties>
</file>